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1E9" w:rsidRDefault="00AF71E9" w:rsidP="00080CF9">
      <w:pPr>
        <w:pStyle w:val="NormalWeb"/>
        <w:spacing w:before="0"/>
        <w:jc w:val="both"/>
        <w:rPr>
          <w:rFonts w:ascii="Arial" w:hAnsi="Arial" w:cs="Arial"/>
          <w:b/>
          <w:color w:val="333333"/>
          <w:sz w:val="21"/>
          <w:szCs w:val="21"/>
          <w:u w:val="single"/>
          <w:lang w:val="en-US"/>
        </w:rPr>
      </w:pPr>
      <w:r w:rsidRPr="0049510A">
        <w:rPr>
          <w:rFonts w:ascii="Arial" w:hAnsi="Arial" w:cs="Arial"/>
          <w:b/>
          <w:color w:val="333333"/>
          <w:sz w:val="21"/>
          <w:szCs w:val="21"/>
          <w:u w:val="single"/>
          <w:lang w:val="en-US"/>
        </w:rPr>
        <w:t>Q</w:t>
      </w:r>
      <w:bookmarkStart w:id="0" w:name="_GoBack"/>
      <w:bookmarkEnd w:id="0"/>
      <w:r w:rsidRPr="0049510A">
        <w:rPr>
          <w:rFonts w:ascii="Arial" w:hAnsi="Arial" w:cs="Arial"/>
          <w:b/>
          <w:color w:val="333333"/>
          <w:sz w:val="21"/>
          <w:szCs w:val="21"/>
          <w:u w:val="single"/>
          <w:lang w:val="en-US"/>
        </w:rPr>
        <w:t>uestion:</w:t>
      </w:r>
    </w:p>
    <w:p w:rsidR="00080CF9" w:rsidRDefault="00080CF9" w:rsidP="00080CF9">
      <w:pPr>
        <w:pStyle w:val="NormalWeb"/>
        <w:jc w:val="both"/>
        <w:rPr>
          <w:rFonts w:ascii="Arial" w:hAnsi="Arial" w:cs="Arial"/>
          <w:b/>
          <w:color w:val="333333"/>
          <w:sz w:val="21"/>
          <w:szCs w:val="21"/>
          <w:u w:val="single"/>
          <w:lang w:val="en-US"/>
        </w:rPr>
      </w:pPr>
    </w:p>
    <w:p w:rsidR="00080CF9" w:rsidRPr="00080CF9" w:rsidRDefault="00080CF9" w:rsidP="00080CF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Art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. 2,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para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. 18 of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Regulation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(EC) № 651/2014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contains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definition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of “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undertaking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in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difficulty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”.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Common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overall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concept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of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Regulation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(EC) № 651/2014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requires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applicability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of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rules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to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any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entity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carrying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out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economic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activities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.</w:t>
      </w:r>
    </w:p>
    <w:p w:rsidR="00080CF9" w:rsidRPr="00080CF9" w:rsidRDefault="00080CF9" w:rsidP="00080CF9">
      <w:pPr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In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this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particular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case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,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state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aid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is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addressed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to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candidates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/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partners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,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which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are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non-government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organizations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,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carrying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out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economic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activities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.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Based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on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national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legislation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,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governing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the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private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benefit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NGOs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at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the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national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level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,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this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type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of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entities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are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established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as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non-profit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organizations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.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They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can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carry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out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additional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economic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activities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to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support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the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main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non-economic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activities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.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Under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national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accounting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legislation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(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standards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)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economic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and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non-economic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activities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should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be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clearly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separated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and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must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contain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different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profit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and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loss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accounts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.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In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relation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to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insolvency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,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bankruptcy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,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liquidation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proceedings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,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respectively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the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powers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of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the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liquidator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,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the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provisions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of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Trade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law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shall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be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applied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accordingly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.</w:t>
      </w:r>
    </w:p>
    <w:p w:rsidR="00080CF9" w:rsidRPr="00080CF9" w:rsidRDefault="00080CF9" w:rsidP="00080CF9">
      <w:pPr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Regarding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specific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characteristics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of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non-governmental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organizations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,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their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activities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and 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accountability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,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our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understanding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is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that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private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benefit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NGOs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can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only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be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assessed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“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in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difficulty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”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upon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the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basis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of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Article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2,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para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. 18, (c), (d) of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Regulation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(EC) № 651/2014.</w:t>
      </w:r>
    </w:p>
    <w:p w:rsidR="00080CF9" w:rsidRPr="00080CF9" w:rsidRDefault="00080CF9" w:rsidP="00080CF9">
      <w:pPr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The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reason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for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our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position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in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case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of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NGOs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,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carrying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out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economic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activities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,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are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the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following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:</w:t>
      </w:r>
    </w:p>
    <w:p w:rsidR="00080CF9" w:rsidRPr="00080CF9" w:rsidRDefault="00080CF9" w:rsidP="00080CF9">
      <w:pPr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1.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On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one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part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,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NGOs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are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not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traditional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capital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companies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and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they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have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no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obligation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to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register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(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subscribe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)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capital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,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which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does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not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permit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application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of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Article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2,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para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. 18, (a), (b) of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Regulation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(EC) № 651/2014.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On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the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other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part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,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NGOs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may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form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capital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reserves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,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which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also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does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not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allow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the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application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of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Article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2,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para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. 18, (a), (b) of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Regulation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(EC) № 651/2014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because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they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apply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to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registered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(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subscribed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)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capital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.</w:t>
      </w:r>
    </w:p>
    <w:p w:rsidR="00080CF9" w:rsidRPr="00080CF9" w:rsidRDefault="00080CF9" w:rsidP="00080CF9">
      <w:pPr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2.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Under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this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procedure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the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eligible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candidates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are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only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small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and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medium-sized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enterprises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.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Therefore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NGOs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that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correspond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to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large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enterprises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are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not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eligible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.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As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a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result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,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it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is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impossible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to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implement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Article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2,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para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. 18, (a), (b) of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Regulation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(EC) № 651/2014.</w:t>
      </w:r>
    </w:p>
    <w:p w:rsidR="00080CF9" w:rsidRPr="00080CF9" w:rsidRDefault="00080CF9" w:rsidP="00080CF9">
      <w:pPr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Taking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into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account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the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above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,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our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opinion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is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that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in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respect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to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private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benefit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NGOs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it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is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possible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and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sufficient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to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make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the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analysis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whether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it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is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“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undertaking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in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difficulty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”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only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according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to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the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criteria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laid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down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in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Article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2,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para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. 18, (c), (d) of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Regulation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(EC) № 651/2014.</w:t>
      </w:r>
    </w:p>
    <w:p w:rsidR="00080CF9" w:rsidRPr="00080CF9" w:rsidRDefault="00080CF9" w:rsidP="00080CF9">
      <w:pPr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We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would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be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grateful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,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if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you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could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confirm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or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not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the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correctness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of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our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understanding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of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the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matter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.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We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would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also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highly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appreciate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if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you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provide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us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with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further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clarifications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or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‘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good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practices’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,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where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relevant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.</w:t>
      </w:r>
    </w:p>
    <w:p w:rsidR="00080CF9" w:rsidRPr="00080CF9" w:rsidRDefault="00080CF9" w:rsidP="00080CF9">
      <w:pPr>
        <w:spacing w:before="150" w:after="12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If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the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Commission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considers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that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the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above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approach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is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not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correct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and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Article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2,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para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. 18, (a), (b) of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Regulation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(EC) № 651/2014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should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be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applied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for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the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private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profit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NGOs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 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despite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the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absence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of a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registered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capital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,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please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provide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concrete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instructions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on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how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to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apply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Article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2,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para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. 18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in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the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case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of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NGOs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.</w:t>
      </w:r>
    </w:p>
    <w:p w:rsidR="00BB07BA" w:rsidRPr="0049510A" w:rsidRDefault="00BB07BA" w:rsidP="00080CF9">
      <w:pPr>
        <w:pStyle w:val="NormalWeb"/>
        <w:jc w:val="both"/>
        <w:rPr>
          <w:rFonts w:ascii="Arial" w:hAnsi="Arial" w:cs="Arial"/>
          <w:b/>
          <w:color w:val="333333"/>
          <w:sz w:val="21"/>
          <w:szCs w:val="21"/>
          <w:u w:val="single"/>
          <w:lang w:val="en-US"/>
        </w:rPr>
      </w:pPr>
    </w:p>
    <w:p w:rsidR="00AF71E9" w:rsidRDefault="00AF71E9" w:rsidP="00080CF9">
      <w:pPr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1"/>
          <w:szCs w:val="21"/>
          <w:u w:val="single"/>
          <w:lang w:val="en-US" w:eastAsia="bg-BG"/>
        </w:rPr>
      </w:pPr>
      <w:proofErr w:type="spellStart"/>
      <w:r w:rsidRPr="0049510A"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bg-BG"/>
        </w:rPr>
        <w:t>Reply</w:t>
      </w:r>
      <w:proofErr w:type="spellEnd"/>
      <w:r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bg-BG"/>
        </w:rPr>
        <w:t>:</w:t>
      </w:r>
    </w:p>
    <w:p w:rsidR="00080CF9" w:rsidRPr="00080CF9" w:rsidRDefault="00080CF9" w:rsidP="00080CF9">
      <w:pPr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1"/>
          <w:szCs w:val="21"/>
          <w:u w:val="single"/>
          <w:lang w:val="en-US" w:eastAsia="bg-BG"/>
        </w:rPr>
      </w:pPr>
    </w:p>
    <w:p w:rsidR="00080CF9" w:rsidRPr="00080CF9" w:rsidRDefault="00080CF9" w:rsidP="00080CF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If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the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NGO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carries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the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economic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activity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and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is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considered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an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undertaking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for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the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purposes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of State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aid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rules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,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in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order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to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establish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whether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it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is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in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difficulty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the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analysis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of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all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circumstances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described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in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Article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2(18)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should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be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done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.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However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,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if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the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particular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NGO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is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not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a '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limited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liability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company'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as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described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in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Article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2 (18) (a)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nor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'a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company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where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at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least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some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members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have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unlimited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liability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for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the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debt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of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the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company'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as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described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in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Article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2 (18) (b),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the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circumstances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described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in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points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(a) and (b)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are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not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relevant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for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the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assessment</w:t>
      </w:r>
      <w:proofErr w:type="spellEnd"/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.</w:t>
      </w:r>
    </w:p>
    <w:p w:rsidR="00080CF9" w:rsidRPr="00080CF9" w:rsidRDefault="00080CF9" w:rsidP="00080CF9">
      <w:pPr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080CF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 </w:t>
      </w:r>
      <w:proofErr w:type="spellStart"/>
      <w:r w:rsidRPr="00080CF9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Disclaimer</w:t>
      </w:r>
      <w:proofErr w:type="spellEnd"/>
      <w:r w:rsidRPr="00080CF9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: </w:t>
      </w:r>
      <w:proofErr w:type="spellStart"/>
      <w:r w:rsidRPr="00080CF9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This</w:t>
      </w:r>
      <w:proofErr w:type="spellEnd"/>
      <w:r w:rsidRPr="00080CF9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reply</w:t>
      </w:r>
      <w:proofErr w:type="spellEnd"/>
      <w:r w:rsidRPr="00080CF9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 </w:t>
      </w:r>
      <w:proofErr w:type="spellStart"/>
      <w:r w:rsidRPr="00080CF9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does</w:t>
      </w:r>
      <w:proofErr w:type="spellEnd"/>
      <w:r w:rsidRPr="00080CF9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not</w:t>
      </w:r>
      <w:proofErr w:type="spellEnd"/>
      <w:r w:rsidRPr="00080CF9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represent</w:t>
      </w:r>
      <w:proofErr w:type="spellEnd"/>
      <w:r w:rsidRPr="00080CF9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a </w:t>
      </w:r>
      <w:proofErr w:type="spellStart"/>
      <w:r w:rsidRPr="00080CF9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formal</w:t>
      </w:r>
      <w:proofErr w:type="spellEnd"/>
      <w:r w:rsidRPr="00080CF9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 and </w:t>
      </w:r>
      <w:proofErr w:type="spellStart"/>
      <w:r w:rsidRPr="00080CF9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definite</w:t>
      </w:r>
      <w:proofErr w:type="spellEnd"/>
      <w:r w:rsidRPr="00080CF9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position</w:t>
      </w:r>
      <w:proofErr w:type="spellEnd"/>
      <w:r w:rsidRPr="00080CF9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of </w:t>
      </w:r>
      <w:proofErr w:type="spellStart"/>
      <w:r w:rsidRPr="00080CF9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the</w:t>
      </w:r>
      <w:proofErr w:type="spellEnd"/>
      <w:r w:rsidRPr="00080CF9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European</w:t>
      </w:r>
      <w:proofErr w:type="spellEnd"/>
      <w:r w:rsidRPr="00080CF9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 </w:t>
      </w:r>
      <w:proofErr w:type="spellStart"/>
      <w:r w:rsidRPr="00080CF9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Commission</w:t>
      </w:r>
      <w:proofErr w:type="spellEnd"/>
      <w:r w:rsidRPr="00080CF9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but</w:t>
      </w:r>
      <w:proofErr w:type="spellEnd"/>
      <w:r w:rsidRPr="00080CF9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is</w:t>
      </w:r>
      <w:proofErr w:type="spellEnd"/>
      <w:r w:rsidRPr="00080CF9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only</w:t>
      </w:r>
      <w:proofErr w:type="spellEnd"/>
      <w:r w:rsidRPr="00080CF9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an</w:t>
      </w:r>
      <w:proofErr w:type="spellEnd"/>
      <w:r w:rsidRPr="00080CF9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informal</w:t>
      </w:r>
      <w:proofErr w:type="spellEnd"/>
      <w:r w:rsidRPr="00080CF9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 </w:t>
      </w:r>
      <w:proofErr w:type="spellStart"/>
      <w:r w:rsidRPr="00080CF9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guidance</w:t>
      </w:r>
      <w:proofErr w:type="spellEnd"/>
      <w:r w:rsidRPr="00080CF9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 </w:t>
      </w:r>
      <w:proofErr w:type="spellStart"/>
      <w:r w:rsidRPr="00080CF9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provided</w:t>
      </w:r>
      <w:proofErr w:type="spellEnd"/>
      <w:r w:rsidRPr="00080CF9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by</w:t>
      </w:r>
      <w:proofErr w:type="spellEnd"/>
      <w:r w:rsidRPr="00080CF9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the</w:t>
      </w:r>
      <w:proofErr w:type="spellEnd"/>
      <w:r w:rsidRPr="00080CF9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services</w:t>
      </w:r>
      <w:proofErr w:type="spellEnd"/>
      <w:r w:rsidRPr="00080CF9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of DG </w:t>
      </w:r>
      <w:proofErr w:type="spellStart"/>
      <w:r w:rsidRPr="00080CF9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Competition</w:t>
      </w:r>
      <w:proofErr w:type="spellEnd"/>
      <w:r w:rsidRPr="00080CF9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 to </w:t>
      </w:r>
      <w:proofErr w:type="spellStart"/>
      <w:r w:rsidRPr="00080CF9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facilitate</w:t>
      </w:r>
      <w:proofErr w:type="spellEnd"/>
      <w:r w:rsidRPr="00080CF9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the</w:t>
      </w:r>
      <w:proofErr w:type="spellEnd"/>
      <w:r w:rsidRPr="00080CF9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application</w:t>
      </w:r>
      <w:proofErr w:type="spellEnd"/>
      <w:r w:rsidRPr="00080CF9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of </w:t>
      </w:r>
      <w:proofErr w:type="spellStart"/>
      <w:r w:rsidRPr="00080CF9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the</w:t>
      </w:r>
      <w:proofErr w:type="spellEnd"/>
      <w:r w:rsidRPr="00080CF9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GBER. </w:t>
      </w:r>
      <w:proofErr w:type="spellStart"/>
      <w:r w:rsidRPr="00080CF9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It</w:t>
      </w:r>
      <w:proofErr w:type="spellEnd"/>
      <w:r w:rsidRPr="00080CF9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is</w:t>
      </w:r>
      <w:proofErr w:type="spellEnd"/>
      <w:r w:rsidRPr="00080CF9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therefore</w:t>
      </w:r>
      <w:proofErr w:type="spellEnd"/>
      <w:r w:rsidRPr="00080CF9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not</w:t>
      </w:r>
      <w:proofErr w:type="spellEnd"/>
      <w:r w:rsidRPr="00080CF9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binding</w:t>
      </w:r>
      <w:proofErr w:type="spellEnd"/>
      <w:r w:rsidRPr="00080CF9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and </w:t>
      </w:r>
      <w:proofErr w:type="spellStart"/>
      <w:r w:rsidRPr="00080CF9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cannot</w:t>
      </w:r>
      <w:proofErr w:type="spellEnd"/>
      <w:r w:rsidRPr="00080CF9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 </w:t>
      </w:r>
      <w:proofErr w:type="spellStart"/>
      <w:r w:rsidRPr="00080CF9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create</w:t>
      </w:r>
      <w:proofErr w:type="spellEnd"/>
      <w:r w:rsidRPr="00080CF9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legal</w:t>
      </w:r>
      <w:proofErr w:type="spellEnd"/>
      <w:r w:rsidRPr="00080CF9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certainty</w:t>
      </w:r>
      <w:proofErr w:type="spellEnd"/>
      <w:r w:rsidRPr="00080CF9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or</w:t>
      </w:r>
      <w:proofErr w:type="spellEnd"/>
      <w:r w:rsidRPr="00080CF9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080CF9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legitimate</w:t>
      </w:r>
      <w:proofErr w:type="spellEnd"/>
      <w:r w:rsidRPr="00080CF9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 </w:t>
      </w:r>
      <w:proofErr w:type="spellStart"/>
      <w:r w:rsidRPr="00080CF9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expectations</w:t>
      </w:r>
      <w:proofErr w:type="spellEnd"/>
      <w:r w:rsidRPr="00080CF9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. </w:t>
      </w:r>
    </w:p>
    <w:p w:rsidR="00AF71E9" w:rsidRPr="00AF71E9" w:rsidRDefault="00AF71E9" w:rsidP="00AF71E9">
      <w:pPr>
        <w:jc w:val="both"/>
        <w:rPr>
          <w:lang w:val="en-US"/>
        </w:rPr>
      </w:pPr>
    </w:p>
    <w:sectPr w:rsidR="00AF71E9" w:rsidRPr="00AF71E9" w:rsidSect="00AF71E9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CB2"/>
    <w:rsid w:val="00080CF9"/>
    <w:rsid w:val="00221E3F"/>
    <w:rsid w:val="00475CB2"/>
    <w:rsid w:val="00517436"/>
    <w:rsid w:val="005314FC"/>
    <w:rsid w:val="00593E86"/>
    <w:rsid w:val="005C3602"/>
    <w:rsid w:val="0064124D"/>
    <w:rsid w:val="00677E63"/>
    <w:rsid w:val="0091503B"/>
    <w:rsid w:val="00AC2A6A"/>
    <w:rsid w:val="00AF71E9"/>
    <w:rsid w:val="00B45D7F"/>
    <w:rsid w:val="00BB07BA"/>
    <w:rsid w:val="00CA04BA"/>
    <w:rsid w:val="00D24972"/>
    <w:rsid w:val="00D45754"/>
    <w:rsid w:val="00D53A42"/>
    <w:rsid w:val="00D73809"/>
    <w:rsid w:val="00DC4A07"/>
    <w:rsid w:val="00EC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F71E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F71E9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F71E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F71E9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4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3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160886">
                      <w:marLeft w:val="4275"/>
                      <w:marRight w:val="0"/>
                      <w:marTop w:val="6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05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1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22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0964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88931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10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089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82300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957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360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58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2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19036">
                      <w:marLeft w:val="4275"/>
                      <w:marRight w:val="0"/>
                      <w:marTop w:val="6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03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36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01714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656674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468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827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88987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495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304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24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39588">
                      <w:marLeft w:val="4275"/>
                      <w:marRight w:val="0"/>
                      <w:marTop w:val="6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4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50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1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13415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775944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9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60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688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804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73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6226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84070">
                      <w:marLeft w:val="4275"/>
                      <w:marRight w:val="0"/>
                      <w:marTop w:val="6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5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0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59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29395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44758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074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480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65060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251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61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04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557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Ивелина Кирилова</dc:creator>
  <cp:keywords/>
  <dc:description/>
  <cp:lastModifiedBy>Ивелина Кирилова</cp:lastModifiedBy>
  <cp:revision>4</cp:revision>
  <dcterms:created xsi:type="dcterms:W3CDTF">2017-01-10T07:41:00Z</dcterms:created>
  <dcterms:modified xsi:type="dcterms:W3CDTF">2017-01-10T07:46:00Z</dcterms:modified>
</cp:coreProperties>
</file>